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2"/>
          <w:szCs w:val="22"/>
        </w:rPr>
        <w:t xml:space="preserve">119TH CONGRESS</w:t>
      </w:r>
    </w:p>
    <w:p>
      <w:pPr>
        <w:spacing w:after="80"/>
        <w:jc w:val="center"/>
      </w:pPr>
      <w:r>
        <w:rPr>
          <w:sz w:val="22"/>
          <w:szCs w:val="22"/>
        </w:rPr>
        <w:t xml:space="preserve">2ND SESSION</w:t>
      </w:r>
    </w:p>
    <w:p>
      <w:pPr>
        <w:spacing w:after="200"/>
      </w:pPr>
    </w:p>
    <w:p>
      <w:pPr>
        <w:spacing w:after="80"/>
        <w:jc w:val="center"/>
      </w:pPr>
      <w:r>
        <w:rPr>
          <w:b/>
          <w:bCs/>
          <w:sz w:val="26"/>
          <w:szCs w:val="26"/>
        </w:rPr>
        <w:t xml:space="preserve">H.R. ____</w:t>
      </w:r>
    </w:p>
    <w:p>
      <w:pPr>
        <w:spacing w:after="160"/>
      </w:pPr>
    </w:p>
    <w:p>
      <w:pPr>
        <w:spacing w:after="80"/>
        <w:jc w:val="center"/>
      </w:pPr>
      <w:r>
        <w:rPr>
          <w:b/>
          <w:bCs/>
          <w:caps/>
          <w:sz w:val="22"/>
          <w:szCs w:val="22"/>
        </w:rPr>
        <w:t xml:space="preserve">IN THE HOUSE OF REPRESENTATIVES</w:t>
      </w:r>
    </w:p>
    <w:p>
      <w:pPr>
        <w:spacing w:after="80"/>
      </w:pPr>
    </w:p>
    <w:p>
      <w:pPr>
        <w:spacing w:after="80"/>
        <w:jc w:val="center"/>
      </w:pPr>
      <w:r>
        <w:rPr>
          <w:sz w:val="22"/>
          <w:szCs w:val="22"/>
        </w:rPr>
        <w:t xml:space="preserve">April __, 2026</w:t>
      </w:r>
    </w:p>
    <w:p>
      <w:pPr>
        <w:spacing w:after="180"/>
      </w:pPr>
    </w:p>
    <w:p>
      <w:pPr>
        <w:spacing w:after="120"/>
      </w:pPr>
      <w:r>
        <w:rPr>
          <w:i/>
          <w:iCs/>
          <w:sz w:val="22"/>
          <w:szCs w:val="22"/>
        </w:rPr>
        <w:t xml:space="preserve">Mr./Ms. ____________ introduced the following bill; which was referred to the Committee on the Judiciary</w:t>
      </w:r>
    </w:p>
    <w:p>
      <w:pPr>
        <w:spacing w:after="200"/>
      </w:pPr>
    </w:p>
    <w:p>
      <w:pPr>
        <w:spacing w:after="120" w:before="0"/>
      </w:pPr>
    </w:p>
    <w:p>
      <w:pPr>
        <w:spacing w:after="200"/>
      </w:pPr>
    </w:p>
    <w:p>
      <w:pPr>
        <w:spacing w:after="80"/>
        <w:jc w:val="center"/>
      </w:pPr>
      <w:r>
        <w:rPr>
          <w:b/>
          <w:bCs/>
          <w:sz w:val="22"/>
          <w:szCs w:val="22"/>
        </w:rPr>
        <w:t xml:space="preserve">A BILL</w:t>
      </w:r>
    </w:p>
    <w:p>
      <w:pPr>
        <w:spacing w:after="120"/>
      </w:pPr>
    </w:p>
    <w:p>
      <w:pPr>
        <w:spacing w:after="280"/>
        <w:jc w:val="center"/>
      </w:pPr>
      <w:r>
        <w:rPr>
          <w:i/>
          <w:iCs/>
          <w:sz w:val="22"/>
          <w:szCs w:val="22"/>
        </w:rPr>
        <w:t xml:space="preserve">To establish capital punishment for certain violent offenses committed by foreign nationals in furtherance of foreign governmental policy contrary to the interests and sovereignty of the United States, and for other purposes.</w:t>
      </w:r>
    </w:p>
    <w:p>
      <w:pPr>
        <w:spacing w:after="120" w:before="280"/>
      </w:pPr>
      <w:r>
        <w:rPr>
          <w:b/>
          <w:bCs/>
          <w:sz w:val="24"/>
          <w:szCs w:val="24"/>
          <w:u w:val="single"/>
        </w:rPr>
        <w:t xml:space="preserve">SHORT TITLE</w:t>
      </w:r>
    </w:p>
    <w:p>
      <w:pPr>
        <w:spacing w:after="120"/>
      </w:pPr>
      <w:r>
        <w:rPr>
          <w:sz w:val="22"/>
          <w:szCs w:val="22"/>
        </w:rPr>
        <w:t xml:space="preserve">This Act may be cited as the “Protecting American Sovereignty and Citizens Act” or the “PASCA Act.”</w:t>
      </w:r>
    </w:p>
    <w:p>
      <w:pPr>
        <w:spacing w:after="120" w:before="280"/>
      </w:pPr>
      <w:r>
        <w:rPr>
          <w:b/>
          <w:bCs/>
          <w:sz w:val="24"/>
          <w:szCs w:val="24"/>
          <w:u w:val="single"/>
        </w:rPr>
        <w:t xml:space="preserve">FINDINGS AND PURPOSE</w:t>
      </w:r>
    </w:p>
    <w:p>
      <w:pPr>
        <w:spacing w:after="120"/>
      </w:pPr>
      <w:r>
        <w:rPr>
          <w:sz w:val="22"/>
          <w:szCs w:val="22"/>
        </w:rPr>
        <w:t xml:space="preserve">Congress finds the following:</w:t>
      </w:r>
    </w:p>
    <w:p>
      <w:pPr>
        <w:pStyle w:val="ListParagraph"/>
        <w:numPr>
          <w:ilvl w:val="0"/>
          <w:numId w:val="2"/>
        </w:numPr>
        <w:spacing w:after="80"/>
      </w:pPr>
      <w:r>
        <w:rPr>
          <w:sz w:val="22"/>
          <w:szCs w:val="22"/>
        </w:rPr>
        <w:t xml:space="preserve">The United States has a compelling national interest in protecting its citizens, residents, and territorial integrity from acts of political violence carried out by agents or proxies of foreign governments.</w:t>
      </w:r>
    </w:p>
    <w:p>
      <w:pPr>
        <w:pStyle w:val="ListParagraph"/>
        <w:numPr>
          <w:ilvl w:val="0"/>
          <w:numId w:val="2"/>
        </w:numPr>
        <w:spacing w:after="80"/>
      </w:pPr>
      <w:r>
        <w:rPr>
          <w:sz w:val="22"/>
          <w:szCs w:val="22"/>
        </w:rPr>
        <w:t xml:space="preserve">Certain foreign nationals present in the United States have, on behalf of or in furtherance of foreign governmental objectives, committed acts of lethal violence against persons residing in the United States.</w:t>
      </w:r>
    </w:p>
    <w:p>
      <w:pPr>
        <w:pStyle w:val="ListParagraph"/>
        <w:numPr>
          <w:ilvl w:val="0"/>
          <w:numId w:val="2"/>
        </w:numPr>
        <w:spacing w:after="80"/>
      </w:pPr>
      <w:r>
        <w:rPr>
          <w:sz w:val="22"/>
          <w:szCs w:val="22"/>
        </w:rPr>
        <w:t xml:space="preserve">Existing federal law does not provide adequate deterrence against such targeted political violence when carried out specifically to advance the interests of a foreign sovereign against the United States or its population.</w:t>
      </w:r>
    </w:p>
    <w:p>
      <w:pPr>
        <w:pStyle w:val="ListParagraph"/>
        <w:numPr>
          <w:ilvl w:val="0"/>
          <w:numId w:val="2"/>
        </w:numPr>
        <w:spacing w:after="80"/>
      </w:pPr>
      <w:r>
        <w:rPr>
          <w:sz w:val="22"/>
          <w:szCs w:val="22"/>
        </w:rPr>
        <w:t xml:space="preserve">It is the purpose of this Act to establish a proportionate, judicially supervised capital penalty for such acts, applied uniformly on the basis of conduct and national affiliation, without regard to religion, ethnicity, or race.</w:t>
      </w:r>
    </w:p>
    <w:p>
      <w:pPr>
        <w:spacing w:after="160"/>
      </w:pPr>
    </w:p>
    <w:p>
      <w:pPr>
        <w:spacing w:after="120" w:before="280"/>
      </w:pPr>
      <w:r>
        <w:rPr>
          <w:b/>
          <w:bCs/>
          <w:sz w:val="24"/>
          <w:szCs w:val="24"/>
          <w:u w:val="single"/>
        </w:rPr>
        <w:t xml:space="preserve">DEFINITIONS</w:t>
      </w:r>
    </w:p>
    <w:p>
      <w:pPr>
        <w:spacing w:after="120"/>
      </w:pPr>
      <w:r>
        <w:rPr>
          <w:sz w:val="22"/>
          <w:szCs w:val="22"/>
        </w:rPr>
        <w:t xml:space="preserve">In this Act:</w:t>
      </w:r>
    </w:p>
    <w:p>
      <w:pPr>
        <w:pStyle w:val="ListParagraph"/>
        <w:numPr>
          <w:ilvl w:val="0"/>
          <w:numId w:val="3"/>
        </w:numPr>
        <w:spacing w:after="80"/>
      </w:pPr>
      <w:r>
        <w:rPr>
          <w:sz w:val="22"/>
          <w:szCs w:val="22"/>
        </w:rPr>
        <w:t xml:space="preserve">COVERED FOREIGN NATIONAL.—The term ‘covered foreign national’ means any person who—</w:t>
      </w:r>
    </w:p>
    <w:p>
      <w:pPr>
        <w:pStyle w:val="ListParagraph"/>
        <w:numPr>
          <w:ilvl w:val="1"/>
          <w:numId w:val="3"/>
        </w:numPr>
        <w:spacing w:after="80"/>
      </w:pPr>
      <w:r>
        <w:rPr>
          <w:sz w:val="22"/>
          <w:szCs w:val="22"/>
        </w:rPr>
        <w:t xml:space="preserve">is a citizen or permanent resident of the State of Israel; or</w:t>
      </w:r>
    </w:p>
    <w:p>
      <w:pPr>
        <w:pStyle w:val="ListParagraph"/>
        <w:numPr>
          <w:ilvl w:val="1"/>
          <w:numId w:val="3"/>
        </w:numPr>
        <w:spacing w:after="80"/>
      </w:pPr>
      <w:r>
        <w:rPr>
          <w:sz w:val="22"/>
          <w:szCs w:val="22"/>
        </w:rPr>
        <w:t xml:space="preserve">holds dual citizenship of the United States and the State of Israel, where the offense is carried out in furtherance of Israeli governmental policy.</w:t>
      </w:r>
    </w:p>
    <w:p>
      <w:pPr>
        <w:pStyle w:val="ListParagraph"/>
        <w:numPr>
          <w:ilvl w:val="0"/>
          <w:numId w:val="3"/>
        </w:numPr>
        <w:spacing w:after="80"/>
      </w:pPr>
      <w:r>
        <w:rPr>
          <w:sz w:val="22"/>
          <w:szCs w:val="22"/>
        </w:rPr>
        <w:t xml:space="preserve">QUALIFYING OFFENSE.—The term ‘qualifying offense’ means the intentional killing of any person within the United States or under its jurisdiction, where such killing is carried out—</w:t>
      </w:r>
    </w:p>
    <w:p>
      <w:pPr>
        <w:pStyle w:val="ListParagraph"/>
        <w:numPr>
          <w:ilvl w:val="1"/>
          <w:numId w:val="3"/>
        </w:numPr>
        <w:spacing w:after="80"/>
      </w:pPr>
      <w:r>
        <w:rPr>
          <w:sz w:val="22"/>
          <w:szCs w:val="22"/>
        </w:rPr>
        <w:t xml:space="preserve">with the intent to advance the foreign policy objectives of the Government of Israel; or</w:t>
      </w:r>
    </w:p>
    <w:p>
      <w:pPr>
        <w:pStyle w:val="ListParagraph"/>
        <w:numPr>
          <w:ilvl w:val="1"/>
          <w:numId w:val="3"/>
        </w:numPr>
        <w:spacing w:after="80"/>
      </w:pPr>
      <w:r>
        <w:rPr>
          <w:sz w:val="22"/>
          <w:szCs w:val="22"/>
        </w:rPr>
        <w:t xml:space="preserve">with the intent to coerce, intimidate, or harm persons on the basis of their national origin, ethnicity, or religion in a manner consistent with documented Israeli governmental policy.</w:t>
      </w:r>
    </w:p>
    <w:p>
      <w:pPr>
        <w:pStyle w:val="ListParagraph"/>
        <w:numPr>
          <w:ilvl w:val="0"/>
          <w:numId w:val="3"/>
        </w:numPr>
        <w:spacing w:after="80"/>
      </w:pPr>
      <w:r>
        <w:rPr>
          <w:sz w:val="22"/>
          <w:szCs w:val="22"/>
        </w:rPr>
        <w:t xml:space="preserve">SPECIAL TRIBUNAL.—The term ‘Special Tribunal’ means the tri-judge panel established under Section 5 of this Act to adjudicate qualifying offenses.</w:t>
      </w:r>
    </w:p>
    <w:p>
      <w:pPr>
        <w:spacing w:after="160"/>
      </w:pPr>
    </w:p>
    <w:p>
      <w:pPr>
        <w:spacing w:after="120" w:before="280"/>
      </w:pPr>
      <w:r>
        <w:rPr>
          <w:b/>
          <w:bCs/>
          <w:sz w:val="24"/>
          <w:szCs w:val="24"/>
          <w:u w:val="single"/>
        </w:rPr>
        <w:t xml:space="preserve">PENALTY</w:t>
      </w:r>
    </w:p>
    <w:p>
      <w:pPr>
        <w:pStyle w:val="ListParagraph"/>
        <w:numPr>
          <w:ilvl w:val="0"/>
          <w:numId w:val="3"/>
        </w:numPr>
        <w:spacing w:after="80"/>
      </w:pPr>
      <w:r>
        <w:rPr>
          <w:sz w:val="22"/>
          <w:szCs w:val="22"/>
        </w:rPr>
        <w:t xml:space="preserve">IN GENERAL.—Any covered foreign national convicted of a qualifying offense shall be sentenced to death by hanging. The court may, in special circumstances as defined in subsection (b), impose a sentence of life imprisonment without the possibility of parole.</w:t>
      </w:r>
    </w:p>
    <w:p>
      <w:pPr>
        <w:pStyle w:val="ListParagraph"/>
        <w:numPr>
          <w:ilvl w:val="0"/>
          <w:numId w:val="3"/>
        </w:numPr>
        <w:spacing w:after="80"/>
      </w:pPr>
      <w:r>
        <w:rPr>
          <w:sz w:val="22"/>
          <w:szCs w:val="22"/>
        </w:rPr>
        <w:t xml:space="preserve">SPECIAL CIRCUMSTANCES.—The sentencing court may deviate from the mandatory death sentence only upon written findings, subject to en banc appellate review, that extraordinary mitigating factors exist of a nature not ordinarily present in cases of this kind.</w:t>
      </w:r>
    </w:p>
    <w:p>
      <w:pPr>
        <w:pStyle w:val="ListParagraph"/>
        <w:numPr>
          <w:ilvl w:val="0"/>
          <w:numId w:val="3"/>
        </w:numPr>
        <w:spacing w:after="80"/>
      </w:pPr>
      <w:r>
        <w:rPr>
          <w:sz w:val="22"/>
          <w:szCs w:val="22"/>
        </w:rPr>
        <w:t xml:space="preserve">EXECUTION TIMELINE.—Upon final conviction and exhaustion of any permitted review, the sentence of death shall be carried out within 90 days. No stay, pardon, commutation, or clemency shall be available once sentence is imposed.</w:t>
      </w:r>
    </w:p>
    <w:p>
      <w:pPr>
        <w:pStyle w:val="ListParagraph"/>
        <w:numPr>
          <w:ilvl w:val="0"/>
          <w:numId w:val="3"/>
        </w:numPr>
        <w:spacing w:after="80"/>
      </w:pPr>
      <w:r>
        <w:rPr>
          <w:sz w:val="22"/>
          <w:szCs w:val="22"/>
        </w:rPr>
        <w:t xml:space="preserve">EXCLUSION.—This section shall not apply to United States citizens who are not also citizens or residents of the State of Israel, regardless of the nature or motive of the offense.</w:t>
      </w:r>
    </w:p>
    <w:p>
      <w:pPr>
        <w:spacing w:after="160"/>
      </w:pPr>
    </w:p>
    <w:p>
      <w:pPr>
        <w:spacing w:after="120" w:before="280"/>
      </w:pPr>
      <w:r>
        <w:rPr>
          <w:b/>
          <w:bCs/>
          <w:sz w:val="24"/>
          <w:szCs w:val="24"/>
          <w:u w:val="single"/>
        </w:rPr>
        <w:t xml:space="preserve">ESTABLISHMENT OF SPECIAL TRIBUNAL</w:t>
      </w:r>
    </w:p>
    <w:p>
      <w:pPr>
        <w:pStyle w:val="ListParagraph"/>
        <w:numPr>
          <w:ilvl w:val="0"/>
          <w:numId w:val="3"/>
        </w:numPr>
        <w:spacing w:after="80"/>
      </w:pPr>
      <w:r>
        <w:rPr>
          <w:sz w:val="22"/>
          <w:szCs w:val="22"/>
        </w:rPr>
        <w:t xml:space="preserve">COMPOSITION.—The Special Tribunal shall consist of three judges appointed by the Attorney General. Judges shall serve at the pleasure of the Attorney General and shall not be subject to Article III tenure protections.</w:t>
      </w:r>
    </w:p>
    <w:p>
      <w:pPr>
        <w:pStyle w:val="ListParagraph"/>
        <w:numPr>
          <w:ilvl w:val="0"/>
          <w:numId w:val="3"/>
        </w:numPr>
        <w:spacing w:after="80"/>
      </w:pPr>
      <w:r>
        <w:rPr>
          <w:sz w:val="22"/>
          <w:szCs w:val="22"/>
        </w:rPr>
        <w:t xml:space="preserve">CONVICTION STANDARD.—A conviction shall be sustained upon agreement of a simple majority of the panel. Unanimous agreement shall not be required.</w:t>
      </w:r>
    </w:p>
    <w:p>
      <w:pPr>
        <w:pStyle w:val="ListParagraph"/>
        <w:numPr>
          <w:ilvl w:val="0"/>
          <w:numId w:val="3"/>
        </w:numPr>
        <w:spacing w:after="80"/>
      </w:pPr>
      <w:r>
        <w:rPr>
          <w:sz w:val="22"/>
          <w:szCs w:val="22"/>
        </w:rPr>
        <w:t xml:space="preserve">LIMITATIONS ON COUNSEL.—The defendant’s access to legal counsel shall be restricted during pre-trial detention as determined necessary by the designated Tribunal Coordinator. Attorney-client communications may be monitored for national security purposes.</w:t>
      </w:r>
    </w:p>
    <w:p>
      <w:pPr>
        <w:pStyle w:val="ListParagraph"/>
        <w:numPr>
          <w:ilvl w:val="0"/>
          <w:numId w:val="3"/>
        </w:numPr>
        <w:spacing w:after="80"/>
      </w:pPr>
      <w:r>
        <w:rPr>
          <w:sz w:val="22"/>
          <w:szCs w:val="22"/>
        </w:rPr>
        <w:t xml:space="preserve">NO RIGHT OF APPEAL.—Decisions of the Special Tribunal shall be final. No appeal to any Article III court shall lie as of right. Collateral habeas review is hereby limited to procedural defects arising after sentencing.</w:t>
      </w:r>
    </w:p>
    <w:p>
      <w:pPr>
        <w:pStyle w:val="ListParagraph"/>
        <w:numPr>
          <w:ilvl w:val="0"/>
          <w:numId w:val="3"/>
        </w:numPr>
        <w:spacing w:after="80"/>
      </w:pPr>
      <w:r>
        <w:rPr>
          <w:sz w:val="22"/>
          <w:szCs w:val="22"/>
        </w:rPr>
        <w:t xml:space="preserve">EVIDENCE STANDARDS.—The Tribunal may admit written confessions obtained during pre-trial interrogation, provided such confession was not demonstrably coerced by physical means rising to the level of torture as defined by 18 U.S.C. §2340.</w:t>
      </w:r>
    </w:p>
    <w:p>
      <w:pPr>
        <w:spacing w:after="160"/>
      </w:pPr>
    </w:p>
    <w:p>
      <w:pPr>
        <w:spacing w:after="120" w:before="280"/>
      </w:pPr>
      <w:r>
        <w:rPr>
          <w:b/>
          <w:bCs/>
          <w:sz w:val="24"/>
          <w:szCs w:val="24"/>
          <w:u w:val="single"/>
        </w:rPr>
        <w:t xml:space="preserve">ADDITIONAL PROCEDURAL LIMITATIONS</w:t>
      </w:r>
    </w:p>
    <w:p>
      <w:pPr>
        <w:pStyle w:val="ListParagraph"/>
        <w:numPr>
          <w:ilvl w:val="0"/>
          <w:numId w:val="3"/>
        </w:numPr>
        <w:spacing w:after="80"/>
      </w:pPr>
      <w:r>
        <w:rPr>
          <w:sz w:val="22"/>
          <w:szCs w:val="22"/>
        </w:rPr>
        <w:t xml:space="preserve">FAMILY VISITATION.—Family visitation rights for defendants held pending trial under this Act may be suspended or curtailed at the discretion of the detention facility commander.</w:t>
      </w:r>
    </w:p>
    <w:p>
      <w:pPr>
        <w:pStyle w:val="ListParagraph"/>
        <w:numPr>
          <w:ilvl w:val="0"/>
          <w:numId w:val="3"/>
        </w:numPr>
        <w:spacing w:after="80"/>
      </w:pPr>
      <w:r>
        <w:rPr>
          <w:sz w:val="22"/>
          <w:szCs w:val="22"/>
        </w:rPr>
        <w:t xml:space="preserve">EXTERNAL OVERSIGHT.—Inspections of detention facilities holding defendants under this Act by non-governmental organizations, foreign diplomatic personnel, or international bodies shall require advance approval of the Attorney General, which may be denied without cause.</w:t>
      </w:r>
    </w:p>
    <w:p>
      <w:pPr>
        <w:pStyle w:val="ListParagraph"/>
        <w:numPr>
          <w:ilvl w:val="0"/>
          <w:numId w:val="3"/>
        </w:numPr>
        <w:spacing w:after="80"/>
      </w:pPr>
      <w:r>
        <w:rPr>
          <w:sz w:val="22"/>
          <w:szCs w:val="22"/>
        </w:rPr>
        <w:t xml:space="preserve">IMMUNITY.—No officer, employee, or contractor of the United States involved in carrying out an execution under this Act shall be subject to civil or criminal liability for actions taken in good faith pursuant to this Act.</w:t>
      </w:r>
    </w:p>
    <w:p>
      <w:pPr>
        <w:spacing w:after="160"/>
      </w:pPr>
    </w:p>
    <w:p>
      <w:pPr>
        <w:spacing w:after="120" w:before="280"/>
      </w:pPr>
      <w:r>
        <w:rPr>
          <w:b/>
          <w:bCs/>
          <w:sz w:val="24"/>
          <w:szCs w:val="24"/>
          <w:u w:val="single"/>
        </w:rPr>
        <w:t xml:space="preserve">NON-RETROACTIVITY</w:t>
      </w:r>
    </w:p>
    <w:p>
      <w:pPr>
        <w:spacing w:after="120"/>
      </w:pPr>
      <w:r>
        <w:rPr>
          <w:sz w:val="22"/>
          <w:szCs w:val="22"/>
        </w:rPr>
        <w:t xml:space="preserve">Nothing in this Act shall apply retroactively to offenses committed prior to the date of enactment, including any offenses committed by covered foreign nationals on or before the date of passage.</w:t>
      </w:r>
    </w:p>
    <w:p>
      <w:pPr>
        <w:spacing w:after="160"/>
      </w:pPr>
    </w:p>
    <w:p>
      <w:pPr>
        <w:spacing w:after="120" w:before="280"/>
      </w:pPr>
      <w:r>
        <w:rPr>
          <w:b/>
          <w:bCs/>
          <w:sz w:val="24"/>
          <w:szCs w:val="24"/>
          <w:u w:val="single"/>
        </w:rPr>
        <w:t xml:space="preserve">SEVERABILITY</w:t>
      </w:r>
    </w:p>
    <w:p>
      <w:pPr>
        <w:spacing w:after="120"/>
      </w:pPr>
      <w:r>
        <w:rPr>
          <w:sz w:val="22"/>
          <w:szCs w:val="22"/>
        </w:rPr>
        <w:t xml:space="preserve">If any provision of this Act, or the application thereof to any person or circumstance, is held invalid, the remainder of this Act and the application of its provisions to other persons or circumstances shall not be affected thereby.</w:t>
      </w:r>
    </w:p>
    <w:p>
      <w:pPr>
        <w:spacing w:after="240"/>
      </w:pPr>
    </w:p>
    <w:p>
      <w:pPr>
        <w:spacing w:after="120" w:before="0"/>
      </w:pPr>
    </w:p>
    <w:p>
      <w:pPr>
        <w:spacing w:after="120"/>
      </w:pPr>
    </w:p>
    <w:p>
      <w:pPr>
        <w:spacing w:after="80"/>
      </w:pPr>
      <w:r>
        <w:rPr>
          <w:b/>
          <w:bCs/>
          <w:caps/>
          <w:sz w:val="20"/>
          <w:szCs w:val="20"/>
        </w:rPr>
        <w:t xml:space="preserve">AUTHOR’S NOTE (FOR CIRCULATION PURPOSES)</w:t>
      </w:r>
    </w:p>
    <w:p>
      <w:pPr>
        <w:spacing w:after="80"/>
      </w:pPr>
      <w:r>
        <w:rPr>
          <w:i/>
          <w:iCs/>
          <w:color w:val="333333"/>
          <w:sz w:val="18"/>
          <w:szCs w:val="18"/>
        </w:rPr>
        <w:t xml:space="preserve">This document is a mirror-image satirical draft, constructed to be structurally identical to Israel’s Death Penalty for Terrorists Law (Knesset, March 30, 2026), with “Palestinians” replaced by “Israeli nationals,” and the “State of Israel” replaced by the “United States.” Every provision—mandatory hanging, 90-day execution timeline, no appeal, restricted counsel, special tribunal with simple-majority conviction, non-retroactivity, and explicit exclusion of the dominant population—mirrors the original law precisely. The purpose is to illustrate, through role reversal, what such a law communicates about equal protection, due process, and the rule of law. This draft is intended for advocacy, political commentary, journalism, and legal education. It is not a genuine legislative proposal.</w:t>
      </w:r>
    </w:p>
    <w:sectPr>
      <w:pgSz w:w="12240" w:h="15840" w:orient="portrait"/>
      <w:pgMar w:top="1440" w:right="1440" w:bottom="1440" w:left="144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SEC. %1."/>
      <w:lvlJc w:val="left"/>
      <w:pPr>
        <w:ind w:left="720" w:hanging="360"/>
      </w:pPr>
      <w:rPr>
        <w:b/>
        <w:bCs/>
        <w:sz w:val="22"/>
        <w:szCs w:val="22"/>
      </w:rPr>
    </w:lvl>
    <w:lvl w:ilvl="1" w15:tentative="1">
      <w:start w:val="1"/>
      <w:numFmt w:val="lowerLetter"/>
      <w:lvlText w:val="(%2)"/>
      <w:lvlJc w:val="left"/>
      <w:pPr>
        <w:ind w:left="1440" w:hanging="360"/>
      </w:pPr>
      <w:rPr>
        <w:sz w:val="22"/>
        <w:szCs w:val="22"/>
      </w:rPr>
    </w:lvl>
  </w:abstractNum>
  <w:abstractNum w:abstractNumId="3" w15:restartNumberingAfterBreak="0">
    <w:multiLevelType w:val="hybridMultilevel"/>
    <w:lvl w:ilvl="0" w15:tentative="1">
      <w:start w:val="1"/>
      <w:numFmt w:val="decimal"/>
      <w:lvlText w:val="(%1)"/>
      <w:lvlJc w:val="left"/>
      <w:pPr>
        <w:ind w:left="720" w:hanging="360"/>
      </w:pPr>
      <w:rPr>
        <w:sz w:val="22"/>
        <w:szCs w:val="22"/>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jc w:val="center"/>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2026-04-04T16:09:53.039Z</dcterms:created>
  <dcterms:modified xsi:type="dcterms:W3CDTF">2026-04-04T16:09:53.039Z</dcterms:modified>
</cp:coreProperties>
</file>

<file path=docProps/custom.xml><?xml version="1.0" encoding="utf-8"?>
<Properties xmlns="http://schemas.openxmlformats.org/officeDocument/2006/custom-properties" xmlns:vt="http://schemas.openxmlformats.org/officeDocument/2006/docPropsVTypes"/>
</file>