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Times New Roman" w:cs="Times New Roman" w:eastAsia="Times New Roman" w:hAnsi="Times New Roman"/>
          <w:sz w:val="24"/>
          <w:szCs w:val="24"/>
        </w:rPr>
        <w:t xml:space="preserve">[Your Name]</w:t>
      </w:r>
    </w:p>
    <w:p>
      <w:pPr>
        <w:spacing w:after="160"/>
      </w:pPr>
      <w:r>
        <w:rPr>
          <w:rFonts w:ascii="Times New Roman" w:cs="Times New Roman" w:eastAsia="Times New Roman" w:hAnsi="Times New Roman"/>
          <w:sz w:val="24"/>
          <w:szCs w:val="24"/>
        </w:rPr>
        <w:t xml:space="preserve">[Address]</w:t>
      </w:r>
    </w:p>
    <w:p>
      <w:pPr>
        <w:spacing w:after="160"/>
      </w:pPr>
      <w:r>
        <w:rPr>
          <w:rFonts w:ascii="Times New Roman" w:cs="Times New Roman" w:eastAsia="Times New Roman" w:hAnsi="Times New Roman"/>
          <w:sz w:val="24"/>
          <w:szCs w:val="24"/>
        </w:rPr>
        <w:t xml:space="preserve">[City, State ZIP]</w:t>
      </w:r>
    </w:p>
    <w:p>
      <w:pPr>
        <w:spacing w:after="160"/>
      </w:pPr>
      <w:r>
        <w:rPr>
          <w:rFonts w:ascii="Times New Roman" w:cs="Times New Roman" w:eastAsia="Times New Roman" w:hAnsi="Times New Roman"/>
          <w:sz w:val="24"/>
          <w:szCs w:val="24"/>
        </w:rPr>
        <w:t xml:space="preserve">[Email / Phone]</w:t>
      </w:r>
    </w:p>
    <w:p>
      <w:pPr>
        <w:spacing w:after="160"/>
      </w:pPr>
      <w:r>
        <w:rPr>
          <w:rFonts w:ascii="Times New Roman" w:cs="Times New Roman" w:eastAsia="Times New Roman" w:hAnsi="Times New Roman"/>
          <w:sz w:val="24"/>
          <w:szCs w:val="24"/>
        </w:rPr>
        <w:t xml:space="preserve">April __, 2026</w:t>
      </w:r>
    </w:p>
    <w:p>
      <w:pPr>
        <w:spacing w:after="320"/>
      </w:pPr>
    </w:p>
    <w:p>
      <w:pPr>
        <w:spacing w:after="160"/>
      </w:pPr>
      <w:r>
        <w:rPr>
          <w:rFonts w:ascii="Times New Roman" w:cs="Times New Roman" w:eastAsia="Times New Roman" w:hAnsi="Times New Roman"/>
          <w:b/>
          <w:bCs/>
          <w:sz w:val="24"/>
          <w:szCs w:val="24"/>
        </w:rPr>
        <w:t xml:space="preserve">The Honorable [Representative Name]</w:t>
      </w:r>
    </w:p>
    <w:p>
      <w:pPr>
        <w:spacing w:after="160"/>
      </w:pPr>
      <w:r>
        <w:rPr>
          <w:rFonts w:ascii="Times New Roman" w:cs="Times New Roman" w:eastAsia="Times New Roman" w:hAnsi="Times New Roman"/>
          <w:sz w:val="24"/>
          <w:szCs w:val="24"/>
        </w:rPr>
        <w:t xml:space="preserve">United States House of Representatives</w:t>
      </w:r>
    </w:p>
    <w:p>
      <w:pPr>
        <w:spacing w:after="160"/>
      </w:pPr>
      <w:r>
        <w:rPr>
          <w:rFonts w:ascii="Times New Roman" w:cs="Times New Roman" w:eastAsia="Times New Roman" w:hAnsi="Times New Roman"/>
          <w:sz w:val="24"/>
          <w:szCs w:val="24"/>
        </w:rPr>
        <w:t xml:space="preserve">[Office Address]</w:t>
      </w:r>
    </w:p>
    <w:p>
      <w:pPr>
        <w:spacing w:after="160"/>
      </w:pPr>
      <w:r>
        <w:rPr>
          <w:rFonts w:ascii="Times New Roman" w:cs="Times New Roman" w:eastAsia="Times New Roman" w:hAnsi="Times New Roman"/>
          <w:sz w:val="24"/>
          <w:szCs w:val="24"/>
        </w:rPr>
        <w:t xml:space="preserve">Washington, D.C. 20515</w:t>
      </w:r>
    </w:p>
    <w:p>
      <w:pPr>
        <w:spacing w:after="320"/>
      </w:pPr>
    </w:p>
    <w:p>
      <w:pPr>
        <w:spacing w:after="160"/>
      </w:pPr>
      <w:r>
        <w:rPr>
          <w:rFonts w:ascii="Times New Roman" w:cs="Times New Roman" w:eastAsia="Times New Roman" w:hAnsi="Times New Roman"/>
          <w:b/>
          <w:bCs/>
          <w:sz w:val="24"/>
          <w:szCs w:val="24"/>
        </w:rPr>
        <w:t xml:space="preserve">Re: </w:t>
      </w:r>
      <w:r>
        <w:rPr>
          <w:rFonts w:ascii="Times New Roman" w:cs="Times New Roman" w:eastAsia="Times New Roman" w:hAnsi="Times New Roman"/>
          <w:sz w:val="24"/>
          <w:szCs w:val="24"/>
        </w:rPr>
        <w:t xml:space="preserve">Request to Introduce H.R. ____, the Protecting American Sovereignty and Citizens Act (PASCA Act) — A Mirror Bill to Israel’s Death Penalty for Terrorists Law (2026)</w:t>
      </w:r>
    </w:p>
    <w:p>
      <w:pPr>
        <w:spacing w:after="200"/>
      </w:pPr>
    </w:p>
    <w:p>
      <w:pPr>
        <w:spacing w:after="160"/>
      </w:pPr>
      <w:r>
        <w:rPr>
          <w:rFonts w:ascii="Times New Roman" w:cs="Times New Roman" w:eastAsia="Times New Roman" w:hAnsi="Times New Roman"/>
          <w:sz w:val="24"/>
          <w:szCs w:val="24"/>
        </w:rPr>
        <w:t xml:space="preserve">Dear Representative [Name],</w:t>
      </w:r>
    </w:p>
    <w:p>
      <w:pPr>
        <w:spacing w:after="160"/>
      </w:pPr>
      <w:r>
        <w:rPr>
          <w:rFonts w:ascii="Times New Roman" w:cs="Times New Roman" w:eastAsia="Times New Roman" w:hAnsi="Times New Roman"/>
          <w:sz w:val="24"/>
          <w:szCs w:val="24"/>
        </w:rPr>
        <w:t xml:space="preserve">I write to request that you introduce the enclosed bill in the 119th Congress. This legislation is not an ordinary proposal — it is a precise structural mirror of a law passed by the Israeli Knesset on March 30, 2026: the Death Penalty for Terrorists Law. Every provision of that law has been reproduced here, with one substitution: where the Israeli law targets Palestinians, this bill targets Israeli nationals in the United States.</w:t>
      </w:r>
    </w:p>
    <w:p>
      <w:pPr>
        <w:spacing w:after="160"/>
      </w:pPr>
      <w:r>
        <w:rPr>
          <w:rFonts w:ascii="Times New Roman" w:cs="Times New Roman" w:eastAsia="Times New Roman" w:hAnsi="Times New Roman"/>
          <w:sz w:val="24"/>
          <w:szCs w:val="24"/>
        </w:rPr>
        <w:t xml:space="preserve">The Israeli law, passed 62–48, mandates death by hanging for offenses committed “with the intent to deny the existence of the State of Israel” — language designed to apply exclusively to Palestinians while explicitly excluding Jewish Israelis. It establishes a special tribunal system with a documented 96% conviction rate, restricts access to legal counsel and family visits, eliminates any right of appeal, and requires executions to be carried out within 90 days of sentencing. The United States State Department called this a matter of “sovereign right.”</w:t>
      </w:r>
    </w:p>
    <w:p>
      <w:pPr>
        <w:spacing w:after="160"/>
      </w:pPr>
      <w:r>
        <w:rPr>
          <w:rFonts w:ascii="Times New Roman" w:cs="Times New Roman" w:eastAsia="Times New Roman" w:hAnsi="Times New Roman"/>
          <w:sz w:val="24"/>
          <w:szCs w:val="24"/>
        </w:rPr>
        <w:t xml:space="preserve">The PASCA Act applies those same standards, word for word, to Israeli nationals. A Special Tribunal. Simple majority conviction. Mandatory hanging. No appeal. Ninety days. Explicit exclusion of American citizens who are not Israeli nationals — mirroring the explicit exclusion of Jewish Israelis under the original law.</w:t>
      </w:r>
    </w:p>
    <w:p>
      <w:pPr>
        <w:spacing w:after="160"/>
      </w:pPr>
      <w:r>
        <w:rPr>
          <w:rFonts w:ascii="Times New Roman" w:cs="Times New Roman" w:eastAsia="Times New Roman" w:hAnsi="Times New Roman"/>
          <w:sz w:val="24"/>
          <w:szCs w:val="24"/>
        </w:rPr>
        <w:t xml:space="preserve">The purpose is not enactment. The purpose is the vote — and the question it forces every member of Congress to answer on the record:</w:t>
      </w:r>
    </w:p>
    <w:p>
      <w:pPr>
        <w:spacing w:after="120" w:before="120"/>
        <w:ind w:left="720" w:right="720"/>
        <w:jc w:val="center"/>
      </w:pPr>
      <w:r>
        <w:rPr>
          <w:rFonts w:ascii="Times New Roman" w:cs="Times New Roman" w:eastAsia="Times New Roman" w:hAnsi="Times New Roman"/>
          <w:b/>
          <w:bCs/>
          <w:i/>
          <w:iCs/>
          <w:sz w:val="24"/>
          <w:szCs w:val="24"/>
        </w:rPr>
        <w:t xml:space="preserve">“If this standard of justice is acceptable when applied to Palestinians, is it acceptable when applied to Israeli nationals?”</w:t>
      </w:r>
    </w:p>
    <w:p>
      <w:pPr>
        <w:spacing w:after="160"/>
      </w:pPr>
      <w:r>
        <w:rPr>
          <w:rFonts w:ascii="Times New Roman" w:cs="Times New Roman" w:eastAsia="Times New Roman" w:hAnsi="Times New Roman"/>
          <w:sz w:val="24"/>
          <w:szCs w:val="24"/>
        </w:rPr>
        <w:t xml:space="preserve">A ‘yes’ vote endorses ethnic-based capital punishment as a legitimate legal framework. A ‘no’ vote implicitly acknowledges that the Israeli law fails the test of equal protection — a principle the United States has a treaty obligation to uphold under the International Covenant on Civil and Political Rights, and a moral obligation under its own Constitution.</w:t>
      </w:r>
    </w:p>
    <w:p>
      <w:pPr>
        <w:spacing w:after="160"/>
      </w:pPr>
      <w:r>
        <w:rPr>
          <w:rFonts w:ascii="Times New Roman" w:cs="Times New Roman" w:eastAsia="Times New Roman" w:hAnsi="Times New Roman"/>
          <w:sz w:val="24"/>
          <w:szCs w:val="24"/>
        </w:rPr>
        <w:t xml:space="preserve">The bill has been drafted in standard House bill format and is ready for introduction. Attached as Exhibit A is the full text of the PASCA Act. Attached as Exhibit B is a side-by-side comparison with the Israeli law it mirrors. Human Rights Watch, Amnesty International, the UN High Commissioner for Human Rights, and the legal advisers to the Knesset itself have all stated on the record that Israel’s law is discriminatory, unconstitutional under Israeli Basic Law, and incompatible with international human rights obligations. The United States Congress has been conspicuously silent.</w:t>
      </w:r>
    </w:p>
    <w:p>
      <w:pPr>
        <w:spacing w:after="160"/>
      </w:pPr>
      <w:r>
        <w:rPr>
          <w:rFonts w:ascii="Times New Roman" w:cs="Times New Roman" w:eastAsia="Times New Roman" w:hAnsi="Times New Roman"/>
          <w:sz w:val="24"/>
          <w:szCs w:val="24"/>
        </w:rPr>
        <w:t xml:space="preserve">Introducing this bill requires no floor vote to succeed. Introduction alone — and the press conference that accompanies it — makes the argument. The bill forces the question that American foreign policy has carefully avoided: whether the standard we apply to our allies is the same standard we apply to their victims.</w:t>
      </w:r>
    </w:p>
    <w:p>
      <w:pPr>
        <w:spacing w:after="160"/>
      </w:pPr>
      <w:r>
        <w:rPr>
          <w:rFonts w:ascii="Times New Roman" w:cs="Times New Roman" w:eastAsia="Times New Roman" w:hAnsi="Times New Roman"/>
          <w:sz w:val="24"/>
          <w:szCs w:val="24"/>
        </w:rPr>
        <w:t xml:space="preserve">I respectfully request a meeting with your office to discuss introduction. I am available at your convenience and can provide additional background, legal analysis, or media coordination support as needed.</w:t>
      </w:r>
    </w:p>
    <w:p>
      <w:pPr>
        <w:spacing w:after="400"/>
      </w:pPr>
    </w:p>
    <w:p>
      <w:pPr>
        <w:spacing w:after="160"/>
      </w:pPr>
      <w:r>
        <w:rPr>
          <w:rFonts w:ascii="Times New Roman" w:cs="Times New Roman" w:eastAsia="Times New Roman" w:hAnsi="Times New Roman"/>
          <w:sz w:val="24"/>
          <w:szCs w:val="24"/>
        </w:rPr>
        <w:t xml:space="preserve">Respectfully submitted,</w:t>
      </w:r>
    </w:p>
    <w:p>
      <w:pPr>
        <w:spacing w:after="480"/>
      </w:pPr>
    </w:p>
    <w:p>
      <w:pPr>
        <w:spacing w:after="160"/>
      </w:pPr>
      <w:r>
        <w:rPr>
          <w:rFonts w:ascii="Times New Roman" w:cs="Times New Roman" w:eastAsia="Times New Roman" w:hAnsi="Times New Roman"/>
          <w:b/>
          <w:bCs/>
          <w:sz w:val="24"/>
          <w:szCs w:val="24"/>
        </w:rPr>
        <w:t xml:space="preserve">[Your Name]</w:t>
      </w:r>
    </w:p>
    <w:p>
      <w:pPr>
        <w:spacing w:after="160"/>
      </w:pPr>
      <w:r>
        <w:rPr>
          <w:rFonts w:ascii="Times New Roman" w:cs="Times New Roman" w:eastAsia="Times New Roman" w:hAnsi="Times New Roman"/>
          <w:sz w:val="24"/>
          <w:szCs w:val="24"/>
        </w:rPr>
        <w:t xml:space="preserve">[Title / Organization, if applicable]</w:t>
      </w:r>
    </w:p>
    <w:p>
      <w:pPr>
        <w:spacing w:after="160"/>
      </w:pPr>
      <w:r>
        <w:rPr>
          <w:rFonts w:ascii="Times New Roman" w:cs="Times New Roman" w:eastAsia="Times New Roman" w:hAnsi="Times New Roman"/>
          <w:sz w:val="24"/>
          <w:szCs w:val="24"/>
        </w:rPr>
        <w:t xml:space="preserve">[Contact Information]</w:t>
      </w:r>
    </w:p>
    <w:p>
      <w:pPr>
        <w:spacing w:after="320"/>
      </w:pPr>
    </w:p>
    <w:p>
      <w:pPr>
        <w:spacing w:after="80"/>
      </w:pPr>
      <w:r>
        <w:rPr>
          <w:rFonts w:ascii="Times New Roman" w:cs="Times New Roman" w:eastAsia="Times New Roman" w:hAnsi="Times New Roman"/>
          <w:b/>
          <w:bCs/>
          <w:sz w:val="24"/>
          <w:szCs w:val="24"/>
        </w:rPr>
        <w:t xml:space="preserve">Enclosures:</w:t>
      </w:r>
    </w:p>
    <w:p>
      <w:pPr>
        <w:spacing w:after="60"/>
        <w:ind w:left="360"/>
      </w:pPr>
      <w:r>
        <w:rPr>
          <w:rFonts w:ascii="Times New Roman" w:cs="Times New Roman" w:eastAsia="Times New Roman" w:hAnsi="Times New Roman"/>
          <w:sz w:val="24"/>
          <w:szCs w:val="24"/>
        </w:rPr>
        <w:t xml:space="preserve">Exhibit A — PASCA Act (H.R. ____, full text)</w:t>
      </w:r>
    </w:p>
    <w:p>
      <w:pPr>
        <w:spacing w:after="60"/>
        <w:ind w:left="360"/>
      </w:pPr>
      <w:r>
        <w:rPr>
          <w:rFonts w:ascii="Times New Roman" w:cs="Times New Roman" w:eastAsia="Times New Roman" w:hAnsi="Times New Roman"/>
          <w:sz w:val="24"/>
          <w:szCs w:val="24"/>
        </w:rPr>
        <w:t xml:space="preserve">Exhibit B — Side-by-side comparison: PASCA Act / Israeli Death Penalty for Terrorists Law (2026)</w:t>
      </w:r>
    </w:p>
    <w:p>
      <w:pPr>
        <w:spacing w:after="60"/>
        <w:ind w:left="360"/>
      </w:pPr>
      <w:r>
        <w:rPr>
          <w:rFonts w:ascii="Times New Roman" w:cs="Times New Roman" w:eastAsia="Times New Roman" w:hAnsi="Times New Roman"/>
          <w:sz w:val="24"/>
          <w:szCs w:val="24"/>
        </w:rPr>
        <w:t xml:space="preserve">Exhibit C — Selected international condemnations: UN OHCHR, Human Rights Watch, Amnesty International</w:t>
      </w:r>
    </w:p>
    <w:p>
      <w:pPr>
        <w:spacing w:after="320"/>
      </w:pPr>
    </w:p>
    <w:p>
      <w:pPr>
        <w:spacing w:after="80"/>
      </w:pPr>
      <w:r>
        <w:rPr>
          <w:b/>
          <w:bCs/>
          <w:color w:val="880000"/>
          <w:sz w:val="18"/>
          <w:szCs w:val="18"/>
        </w:rPr>
        <w:t xml:space="preserve">SUGGESTED RECIPIENTS (remove before sending):</w:t>
      </w:r>
    </w:p>
    <w:p>
      <w:pPr>
        <w:spacing w:after="60"/>
        <w:ind w:left="360"/>
      </w:pPr>
      <w:r>
        <w:rPr>
          <w:i/>
          <w:iCs/>
          <w:color w:val="880000"/>
          <w:sz w:val="18"/>
          <w:szCs w:val="18"/>
        </w:rPr>
        <w:t xml:space="preserve">Rep. Rashida Tlaib (MI-12) — Only Palestinian-American in Congress; has led Gaza ceasefire efforts</w:t>
      </w:r>
    </w:p>
    <w:p>
      <w:pPr>
        <w:spacing w:after="60"/>
        <w:ind w:left="360"/>
      </w:pPr>
      <w:r>
        <w:rPr>
          <w:i/>
          <w:iCs/>
          <w:color w:val="880000"/>
          <w:sz w:val="18"/>
          <w:szCs w:val="18"/>
        </w:rPr>
        <w:t xml:space="preserve">Rep. Ilhan Omar (MN-05) — Vocal critic of Israeli government policy; Foreign Affairs Committee</w:t>
      </w:r>
    </w:p>
    <w:p>
      <w:pPr>
        <w:spacing w:after="60"/>
        <w:ind w:left="360"/>
      </w:pPr>
      <w:r>
        <w:rPr>
          <w:i/>
          <w:iCs/>
          <w:color w:val="880000"/>
          <w:sz w:val="18"/>
          <w:szCs w:val="18"/>
        </w:rPr>
        <w:t xml:space="preserve">Rep. Alexandria Ocasio-Cortez (NY-14) — High media profile; strong on international human rights</w:t>
      </w:r>
    </w:p>
    <w:p>
      <w:pPr>
        <w:spacing w:after="60"/>
        <w:ind w:left="360"/>
      </w:pPr>
      <w:r>
        <w:rPr>
          <w:i/>
          <w:iCs/>
          <w:color w:val="880000"/>
          <w:sz w:val="18"/>
          <w:szCs w:val="18"/>
        </w:rPr>
        <w:t xml:space="preserve">Rep. Cori Bush (MO-01) — Introduced Gaza ceasefire resolution; direct, confrontational style</w:t>
      </w:r>
    </w:p>
    <w:p>
      <w:pPr>
        <w:spacing w:after="60"/>
        <w:ind w:left="360"/>
      </w:pPr>
      <w:r>
        <w:rPr>
          <w:i/>
          <w:iCs/>
          <w:color w:val="880000"/>
          <w:sz w:val="18"/>
          <w:szCs w:val="18"/>
        </w:rPr>
        <w:t xml:space="preserve">Rep. Jamaal Bowman (NY-16) — Endorsed by progressive orgs with strong Palestine advocacy record</w:t>
      </w:r>
    </w:p>
    <w:p>
      <w:pPr>
        <w:spacing w:after="60"/>
        <w:ind w:left="360"/>
      </w:pPr>
      <w:r>
        <w:rPr>
          <w:i/>
          <w:iCs/>
          <w:color w:val="880000"/>
          <w:sz w:val="18"/>
          <w:szCs w:val="18"/>
        </w:rPr>
        <w:t xml:space="preserve">Rep. Betty McCollum (MN-04) — Introduced legislation restricting US aid used against Palestinian children</w:t>
      </w:r>
    </w:p>
    <w:sectPr>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2026-04-04T16:26:53.415Z</dcterms:created>
  <dcterms:modified xsi:type="dcterms:W3CDTF">2026-04-04T16:26:53.415Z</dcterms:modified>
</cp:coreProperties>
</file>

<file path=docProps/custom.xml><?xml version="1.0" encoding="utf-8"?>
<Properties xmlns="http://schemas.openxmlformats.org/officeDocument/2006/custom-properties" xmlns:vt="http://schemas.openxmlformats.org/officeDocument/2006/docPropsVTypes"/>
</file>